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43" w:rsidRPr="00D142B1" w:rsidRDefault="00D142B1" w:rsidP="00A826B4">
      <w:pPr>
        <w:spacing w:after="0"/>
        <w:rPr>
          <w:b/>
          <w:sz w:val="28"/>
          <w:szCs w:val="28"/>
          <w:u w:val="single"/>
        </w:rPr>
      </w:pPr>
      <w:r w:rsidRPr="00D142B1">
        <w:rPr>
          <w:b/>
          <w:sz w:val="28"/>
          <w:szCs w:val="28"/>
          <w:u w:val="single"/>
        </w:rPr>
        <w:t>Education Topic/Focus for 2016-2017</w:t>
      </w:r>
    </w:p>
    <w:p w:rsidR="00D142B1" w:rsidRDefault="00D142B1" w:rsidP="00A826B4">
      <w:pPr>
        <w:pStyle w:val="ListParagraph"/>
        <w:numPr>
          <w:ilvl w:val="0"/>
          <w:numId w:val="1"/>
        </w:numPr>
      </w:pPr>
      <w:r>
        <w:t>Security/Risk Management</w:t>
      </w:r>
    </w:p>
    <w:p w:rsidR="00D142B1" w:rsidRDefault="00D142B1" w:rsidP="00A826B4">
      <w:pPr>
        <w:pStyle w:val="ListParagraph"/>
        <w:numPr>
          <w:ilvl w:val="0"/>
          <w:numId w:val="1"/>
        </w:numPr>
      </w:pPr>
      <w:r>
        <w:t>Technology/Data Analysis (Interactive tech, data management, mobile experience, etc.)</w:t>
      </w:r>
    </w:p>
    <w:p w:rsidR="00D142B1" w:rsidRDefault="00D142B1" w:rsidP="00A826B4">
      <w:pPr>
        <w:pStyle w:val="ListParagraph"/>
        <w:numPr>
          <w:ilvl w:val="0"/>
          <w:numId w:val="1"/>
        </w:numPr>
      </w:pPr>
      <w:r>
        <w:t>Strategic Meeting Design (F&amp;B, audiovisual, strategic meetings, core skills, etc.)</w:t>
      </w:r>
    </w:p>
    <w:p w:rsidR="00D142B1" w:rsidRDefault="00D142B1" w:rsidP="00A826B4">
      <w:pPr>
        <w:pStyle w:val="ListParagraph"/>
        <w:numPr>
          <w:ilvl w:val="0"/>
          <w:numId w:val="1"/>
        </w:numPr>
      </w:pPr>
      <w:r>
        <w:t>Transitioning from Meeting Planner to Show Producer (providing ROI, industry insight, next generation skills, etc.)</w:t>
      </w:r>
    </w:p>
    <w:p w:rsidR="00D142B1" w:rsidRDefault="00D142B1" w:rsidP="00A826B4">
      <w:pPr>
        <w:pStyle w:val="ListParagraph"/>
        <w:numPr>
          <w:ilvl w:val="0"/>
          <w:numId w:val="1"/>
        </w:numPr>
      </w:pPr>
      <w:r>
        <w:t>Transitioning from Meeting Supplier to Strategic Partner (Becoming a creative resource for planners, nurturing business relationships, providing ROI, etc.)</w:t>
      </w:r>
    </w:p>
    <w:p w:rsidR="00D142B1" w:rsidRDefault="00D142B1" w:rsidP="00A826B4">
      <w:pPr>
        <w:pStyle w:val="ListParagraph"/>
        <w:numPr>
          <w:ilvl w:val="0"/>
          <w:numId w:val="1"/>
        </w:numPr>
      </w:pPr>
      <w:r>
        <w:t>Personal and Career Development (Lead generation, sales techniques, personal branding, networking strategies, etc.)</w:t>
      </w:r>
    </w:p>
    <w:p w:rsidR="00D142B1" w:rsidRDefault="00D142B1" w:rsidP="00A826B4">
      <w:pPr>
        <w:pStyle w:val="ListParagraph"/>
        <w:numPr>
          <w:ilvl w:val="0"/>
          <w:numId w:val="1"/>
        </w:numPr>
      </w:pPr>
      <w:r>
        <w:t>Legal, Procurement and Compliance (Site selections, contracting, supply chain and management, medical meetings, legal based ethical concerns, etc.)</w:t>
      </w:r>
    </w:p>
    <w:p w:rsidR="00D142B1" w:rsidRDefault="00D142B1" w:rsidP="00A826B4">
      <w:pPr>
        <w:pStyle w:val="ListParagraph"/>
        <w:numPr>
          <w:ilvl w:val="0"/>
          <w:numId w:val="1"/>
        </w:numPr>
      </w:pPr>
      <w:r>
        <w:t>Event Marketing (Strategies, tools and tactics)</w:t>
      </w:r>
    </w:p>
    <w:p w:rsidR="00A826B4" w:rsidRPr="00A826B4" w:rsidRDefault="00A826B4" w:rsidP="00A826B4">
      <w:pPr>
        <w:spacing w:after="0"/>
      </w:pPr>
    </w:p>
    <w:p w:rsidR="00D142B1" w:rsidRDefault="00D142B1" w:rsidP="00A826B4">
      <w:pPr>
        <w:spacing w:after="0"/>
        <w:rPr>
          <w:b/>
          <w:sz w:val="28"/>
          <w:szCs w:val="28"/>
          <w:u w:val="single"/>
        </w:rPr>
      </w:pPr>
      <w:r>
        <w:rPr>
          <w:b/>
          <w:sz w:val="28"/>
          <w:szCs w:val="28"/>
          <w:u w:val="single"/>
        </w:rPr>
        <w:t>Top Rated Sessions from WEC 2016</w:t>
      </w:r>
    </w:p>
    <w:tbl>
      <w:tblPr>
        <w:tblW w:w="12978" w:type="dxa"/>
        <w:tblCellMar>
          <w:left w:w="0" w:type="dxa"/>
          <w:right w:w="0" w:type="dxa"/>
        </w:tblCellMar>
        <w:tblLook w:val="04A0"/>
      </w:tblPr>
      <w:tblGrid>
        <w:gridCol w:w="8388"/>
        <w:gridCol w:w="2430"/>
        <w:gridCol w:w="2160"/>
      </w:tblGrid>
      <w:tr w:rsidR="00F30C68" w:rsidTr="008970D7">
        <w:trPr>
          <w:trHeight w:val="300"/>
        </w:trPr>
        <w:tc>
          <w:tcPr>
            <w:tcW w:w="838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Good to Great: Navigating the C-Suite for long-term results</w:t>
            </w:r>
          </w:p>
        </w:tc>
        <w:tc>
          <w:tcPr>
            <w:tcW w:w="24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Lori</w:t>
            </w:r>
          </w:p>
        </w:tc>
        <w:tc>
          <w:tcPr>
            <w:tcW w:w="21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proofErr w:type="spellStart"/>
            <w:r>
              <w:rPr>
                <w:color w:val="000000"/>
              </w:rPr>
              <w:t>Kleiman</w:t>
            </w:r>
            <w:proofErr w:type="spellEnd"/>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Meeting Planning Six Sigma Style: LEAN 101</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Rob</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Wilson</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Around the World in 30 Seconds: Hybrid and Virtual Meetings and Events</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Brandt</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Krueger</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GLOBAL CITIZENSHIP – From Brooklyn to Africa</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Chris</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proofErr w:type="spellStart"/>
            <w:r>
              <w:rPr>
                <w:color w:val="000000"/>
              </w:rPr>
              <w:t>Bashinelli</w:t>
            </w:r>
            <w:proofErr w:type="spellEnd"/>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Optimizing Your F&amp;B Budget: Transforming Your F&amp;B Functions into Knock-Out Events</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Bonnie</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proofErr w:type="spellStart"/>
            <w:r>
              <w:rPr>
                <w:color w:val="000000"/>
              </w:rPr>
              <w:t>Wallsh</w:t>
            </w:r>
            <w:proofErr w:type="spellEnd"/>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It’s App-</w:t>
            </w:r>
            <w:proofErr w:type="spellStart"/>
            <w:r>
              <w:rPr>
                <w:color w:val="000000"/>
              </w:rPr>
              <w:t>tastic</w:t>
            </w:r>
            <w:proofErr w:type="spellEnd"/>
            <w:r>
              <w:rPr>
                <w:color w:val="000000"/>
              </w:rPr>
              <w:t>:  60 Apps in 60 Minutes - 2016 Edition</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James</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proofErr w:type="spellStart"/>
            <w:r>
              <w:rPr>
                <w:color w:val="000000"/>
              </w:rPr>
              <w:t>Spellos</w:t>
            </w:r>
            <w:proofErr w:type="spellEnd"/>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Halfway Through 2016: The Tech You’ve Never Seen</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Courtney</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Stanley</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How To Influence What People Think About You: Insights from The Science of Influence</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Melinda</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Marcus</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Let Your Meetings Soar Into the Cloud</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Jeffrey</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Rasco</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lastRenderedPageBreak/>
              <w:t>Meeting Planning Six Sigma Style: LEAN Six Sigma</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Rob</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Wilson</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Creating A Culture of Excellence</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Harry</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Paul</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Critical Excel Tools for the Meetings Professional</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James</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proofErr w:type="spellStart"/>
            <w:r>
              <w:rPr>
                <w:color w:val="000000"/>
              </w:rPr>
              <w:t>Spellos</w:t>
            </w:r>
            <w:proofErr w:type="spellEnd"/>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Networking Can Be Both Fun &amp; Fruitful</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Carol</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Schulte</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Secrets &amp; Strategies to Manipulate, Magnify and Maximize Free Publicity</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Susan</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Ratliff</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Food Rules: The Legalities of Feeding Everyone</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Tracy</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Stuckrath</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AV Demystified- A Technological Town Hall Meeting</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Brandt</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Krueger</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What Keeps You Up at Night Worrying about Potential Risks for Your Meetings and Events?</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Bonnie</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proofErr w:type="spellStart"/>
            <w:r>
              <w:rPr>
                <w:color w:val="000000"/>
              </w:rPr>
              <w:t>Wallsh</w:t>
            </w:r>
            <w:proofErr w:type="spellEnd"/>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The Ultimate Meeting Professionals Guide  to Internet Connectivity</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James</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proofErr w:type="spellStart"/>
            <w:r>
              <w:rPr>
                <w:color w:val="000000"/>
              </w:rPr>
              <w:t>Spellos</w:t>
            </w:r>
            <w:proofErr w:type="spellEnd"/>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Connections Matter - How to maximize networking opportunities as a meeting professional</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Michael</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Lyons</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Cutting-Edge Legal Issues in Tomorrow's Meetings ... and How to Solve Them!</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Joshua</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Grimes</w:t>
            </w:r>
          </w:p>
        </w:tc>
      </w:tr>
      <w:tr w:rsidR="00F30C68" w:rsidTr="008970D7">
        <w:trPr>
          <w:trHeight w:val="300"/>
        </w:trPr>
        <w:tc>
          <w:tcPr>
            <w:tcW w:w="8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 xml:space="preserve">SAY Anything to Anyone, Anywhere! 5 Keys to Cross-Cultural Communication </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Gayle</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30C68" w:rsidRDefault="00F30C68">
            <w:pPr>
              <w:rPr>
                <w:rFonts w:ascii="Calibri" w:hAnsi="Calibri"/>
                <w:color w:val="000000"/>
              </w:rPr>
            </w:pPr>
            <w:r>
              <w:rPr>
                <w:color w:val="000000"/>
              </w:rPr>
              <w:t>Cotton</w:t>
            </w:r>
          </w:p>
        </w:tc>
      </w:tr>
    </w:tbl>
    <w:p w:rsidR="00F30C68" w:rsidRDefault="00220870" w:rsidP="00D142B1">
      <w:pPr>
        <w:pStyle w:val="ListParagraph"/>
        <w:ind w:hanging="360"/>
        <w:rPr>
          <w:color w:val="000000"/>
        </w:rPr>
      </w:pPr>
      <w:r w:rsidRPr="00220870">
        <w:rPr>
          <w:color w:val="000000"/>
        </w:rPr>
        <w:t xml:space="preserve">Note: Speaker contact information can be found on the MPI Speaker Resource website or by contacting </w:t>
      </w:r>
      <w:hyperlink r:id="rId7" w:history="1">
        <w:r w:rsidRPr="00220870">
          <w:rPr>
            <w:rStyle w:val="Hyperlink"/>
          </w:rPr>
          <w:t>mpiacademy@mpiweb.org</w:t>
        </w:r>
      </w:hyperlink>
    </w:p>
    <w:p w:rsidR="00220870" w:rsidRDefault="00220870" w:rsidP="00A826B4">
      <w:pPr>
        <w:spacing w:after="0"/>
        <w:rPr>
          <w:b/>
          <w:sz w:val="28"/>
          <w:szCs w:val="28"/>
          <w:u w:val="single"/>
        </w:rPr>
      </w:pPr>
    </w:p>
    <w:p w:rsidR="00D142B1" w:rsidRPr="00A7133C" w:rsidRDefault="00A7133C" w:rsidP="00A826B4">
      <w:pPr>
        <w:spacing w:after="0"/>
        <w:rPr>
          <w:b/>
          <w:sz w:val="28"/>
          <w:szCs w:val="28"/>
          <w:u w:val="single"/>
        </w:rPr>
      </w:pPr>
      <w:r w:rsidRPr="00A7133C">
        <w:rPr>
          <w:b/>
          <w:sz w:val="28"/>
          <w:szCs w:val="28"/>
          <w:u w:val="single"/>
        </w:rPr>
        <w:t>Additional Content/Trend Requests Noted in Various Member Surveys</w:t>
      </w:r>
    </w:p>
    <w:p w:rsidR="00A7133C" w:rsidRPr="00A7133C" w:rsidRDefault="00A7133C" w:rsidP="00A826B4">
      <w:pPr>
        <w:pStyle w:val="ListParagraph"/>
        <w:numPr>
          <w:ilvl w:val="0"/>
          <w:numId w:val="1"/>
        </w:numPr>
        <w:rPr>
          <w:color w:val="000000"/>
        </w:rPr>
      </w:pPr>
      <w:r w:rsidRPr="00A7133C">
        <w:rPr>
          <w:color w:val="000000"/>
        </w:rPr>
        <w:t>New technology for Adult Learning</w:t>
      </w:r>
    </w:p>
    <w:p w:rsidR="00A7133C" w:rsidRPr="00A7133C" w:rsidRDefault="00A7133C" w:rsidP="00A826B4">
      <w:pPr>
        <w:pStyle w:val="ListParagraph"/>
        <w:numPr>
          <w:ilvl w:val="0"/>
          <w:numId w:val="1"/>
        </w:numPr>
        <w:rPr>
          <w:color w:val="000000"/>
        </w:rPr>
      </w:pPr>
      <w:r w:rsidRPr="00A7133C">
        <w:rPr>
          <w:color w:val="000000"/>
        </w:rPr>
        <w:t xml:space="preserve">How to use </w:t>
      </w:r>
      <w:r>
        <w:rPr>
          <w:color w:val="000000"/>
        </w:rPr>
        <w:t xml:space="preserve"> technology </w:t>
      </w:r>
      <w:r w:rsidRPr="00A7133C">
        <w:rPr>
          <w:color w:val="000000"/>
        </w:rPr>
        <w:t>data around</w:t>
      </w:r>
      <w:r>
        <w:rPr>
          <w:color w:val="000000"/>
        </w:rPr>
        <w:t>/during</w:t>
      </w:r>
      <w:r w:rsidRPr="00A7133C">
        <w:rPr>
          <w:color w:val="000000"/>
        </w:rPr>
        <w:t xml:space="preserve"> meetings, not just attendee data</w:t>
      </w:r>
    </w:p>
    <w:p w:rsidR="00A7133C" w:rsidRPr="00A7133C" w:rsidRDefault="00A7133C" w:rsidP="00A826B4">
      <w:pPr>
        <w:pStyle w:val="ListParagraph"/>
        <w:numPr>
          <w:ilvl w:val="0"/>
          <w:numId w:val="2"/>
        </w:numPr>
        <w:rPr>
          <w:color w:val="000000"/>
        </w:rPr>
      </w:pPr>
      <w:r w:rsidRPr="00A7133C">
        <w:rPr>
          <w:color w:val="000000"/>
        </w:rPr>
        <w:t>These technology uses are growing:</w:t>
      </w:r>
    </w:p>
    <w:p w:rsidR="00A7133C" w:rsidRDefault="00A7133C" w:rsidP="00A826B4">
      <w:pPr>
        <w:pStyle w:val="ListParagraph"/>
        <w:ind w:left="1440" w:hanging="360"/>
        <w:rPr>
          <w:color w:val="000000"/>
        </w:rPr>
      </w:pPr>
      <w:proofErr w:type="gramStart"/>
      <w:r>
        <w:rPr>
          <w:rFonts w:ascii="Courier New" w:hAnsi="Courier New" w:cs="Courier New"/>
          <w:color w:val="000000"/>
        </w:rPr>
        <w:t>o</w:t>
      </w:r>
      <w:proofErr w:type="gramEnd"/>
      <w:r>
        <w:rPr>
          <w:rFonts w:ascii="Times New Roman" w:hAnsi="Times New Roman"/>
          <w:color w:val="000000"/>
          <w:sz w:val="14"/>
          <w:szCs w:val="14"/>
        </w:rPr>
        <w:t xml:space="preserve">   </w:t>
      </w:r>
      <w:r>
        <w:rPr>
          <w:color w:val="000000"/>
        </w:rPr>
        <w:t xml:space="preserve">User location-based technology (like </w:t>
      </w:r>
      <w:proofErr w:type="spellStart"/>
      <w:r>
        <w:rPr>
          <w:color w:val="000000"/>
        </w:rPr>
        <w:t>iBeacon</w:t>
      </w:r>
      <w:proofErr w:type="spellEnd"/>
      <w:r>
        <w:rPr>
          <w:color w:val="000000"/>
        </w:rPr>
        <w:t>) to create seamless session check-in</w:t>
      </w:r>
    </w:p>
    <w:p w:rsidR="00A7133C" w:rsidRDefault="00A7133C" w:rsidP="00A826B4">
      <w:pPr>
        <w:pStyle w:val="ListParagraph"/>
        <w:ind w:left="1440" w:hanging="360"/>
        <w:rPr>
          <w:color w:val="000000"/>
        </w:rPr>
      </w:pPr>
      <w:proofErr w:type="gramStart"/>
      <w:r>
        <w:rPr>
          <w:rFonts w:ascii="Courier New" w:hAnsi="Courier New" w:cs="Courier New"/>
          <w:color w:val="000000"/>
        </w:rPr>
        <w:t>o</w:t>
      </w:r>
      <w:proofErr w:type="gramEnd"/>
      <w:r>
        <w:rPr>
          <w:rFonts w:ascii="Times New Roman" w:hAnsi="Times New Roman"/>
          <w:color w:val="000000"/>
          <w:sz w:val="14"/>
          <w:szCs w:val="14"/>
        </w:rPr>
        <w:t xml:space="preserve">   </w:t>
      </w:r>
      <w:r>
        <w:rPr>
          <w:color w:val="000000"/>
        </w:rPr>
        <w:t xml:space="preserve">User location-based technology (like </w:t>
      </w:r>
      <w:proofErr w:type="spellStart"/>
      <w:r>
        <w:rPr>
          <w:color w:val="000000"/>
        </w:rPr>
        <w:t>iBeacon</w:t>
      </w:r>
      <w:proofErr w:type="spellEnd"/>
      <w:r>
        <w:rPr>
          <w:color w:val="000000"/>
        </w:rPr>
        <w:t>) to facilitate attendee networking</w:t>
      </w:r>
    </w:p>
    <w:p w:rsidR="00A7133C" w:rsidRDefault="00A7133C" w:rsidP="00A826B4">
      <w:pPr>
        <w:pStyle w:val="ListParagraph"/>
        <w:ind w:left="1440" w:hanging="360"/>
        <w:rPr>
          <w:color w:val="000000"/>
        </w:rPr>
      </w:pPr>
      <w:proofErr w:type="gramStart"/>
      <w:r>
        <w:rPr>
          <w:rFonts w:ascii="Courier New" w:hAnsi="Courier New" w:cs="Courier New"/>
          <w:color w:val="000000"/>
        </w:rPr>
        <w:lastRenderedPageBreak/>
        <w:t>o</w:t>
      </w:r>
      <w:proofErr w:type="gramEnd"/>
      <w:r>
        <w:rPr>
          <w:rFonts w:ascii="Times New Roman" w:hAnsi="Times New Roman"/>
          <w:color w:val="000000"/>
          <w:sz w:val="14"/>
          <w:szCs w:val="14"/>
        </w:rPr>
        <w:t xml:space="preserve">   </w:t>
      </w:r>
      <w:r>
        <w:rPr>
          <w:color w:val="000000"/>
        </w:rPr>
        <w:t>Ad hoc community building</w:t>
      </w:r>
    </w:p>
    <w:p w:rsidR="00A7133C" w:rsidRDefault="00A7133C" w:rsidP="00A826B4">
      <w:pPr>
        <w:pStyle w:val="ListParagraph"/>
        <w:ind w:left="1440" w:hanging="360"/>
        <w:rPr>
          <w:color w:val="000000"/>
        </w:rPr>
      </w:pPr>
      <w:proofErr w:type="gramStart"/>
      <w:r>
        <w:rPr>
          <w:rFonts w:ascii="Courier New" w:hAnsi="Courier New" w:cs="Courier New"/>
          <w:color w:val="000000"/>
        </w:rPr>
        <w:t>o</w:t>
      </w:r>
      <w:proofErr w:type="gramEnd"/>
      <w:r>
        <w:rPr>
          <w:rFonts w:ascii="Times New Roman" w:hAnsi="Times New Roman"/>
          <w:color w:val="000000"/>
          <w:sz w:val="14"/>
          <w:szCs w:val="14"/>
        </w:rPr>
        <w:t xml:space="preserve">   </w:t>
      </w:r>
      <w:r>
        <w:rPr>
          <w:color w:val="000000"/>
        </w:rPr>
        <w:t>An in-app activity stream of trending sessions, most popular comments, etc.</w:t>
      </w:r>
    </w:p>
    <w:p w:rsidR="00A7133C" w:rsidRDefault="00A7133C" w:rsidP="00A826B4">
      <w:pPr>
        <w:pStyle w:val="ListParagraph"/>
        <w:numPr>
          <w:ilvl w:val="1"/>
          <w:numId w:val="2"/>
        </w:numPr>
        <w:rPr>
          <w:color w:val="000000"/>
        </w:rPr>
      </w:pPr>
      <w:proofErr w:type="spellStart"/>
      <w:r>
        <w:rPr>
          <w:color w:val="000000"/>
        </w:rPr>
        <w:t>Gamification</w:t>
      </w:r>
      <w:proofErr w:type="spellEnd"/>
    </w:p>
    <w:p w:rsidR="00A7133C" w:rsidRPr="00A7133C" w:rsidRDefault="00A7133C" w:rsidP="00A826B4">
      <w:pPr>
        <w:pStyle w:val="ListParagraph"/>
        <w:numPr>
          <w:ilvl w:val="1"/>
          <w:numId w:val="2"/>
        </w:numPr>
        <w:rPr>
          <w:color w:val="000000"/>
        </w:rPr>
      </w:pPr>
      <w:r w:rsidRPr="00A7133C">
        <w:rPr>
          <w:color w:val="000000"/>
        </w:rPr>
        <w:t>Streaming content</w:t>
      </w:r>
    </w:p>
    <w:p w:rsidR="00A7133C" w:rsidRDefault="00A7133C" w:rsidP="00A826B4">
      <w:pPr>
        <w:pStyle w:val="ListParagraph"/>
        <w:numPr>
          <w:ilvl w:val="0"/>
          <w:numId w:val="1"/>
        </w:numPr>
        <w:rPr>
          <w:color w:val="000000"/>
        </w:rPr>
      </w:pPr>
      <w:r>
        <w:rPr>
          <w:color w:val="000000"/>
        </w:rPr>
        <w:t>S</w:t>
      </w:r>
      <w:r w:rsidRPr="00A7133C">
        <w:rPr>
          <w:color w:val="000000"/>
        </w:rPr>
        <w:t xml:space="preserve">ocial media </w:t>
      </w:r>
      <w:r>
        <w:rPr>
          <w:color w:val="000000"/>
        </w:rPr>
        <w:t>focused sessions</w:t>
      </w:r>
    </w:p>
    <w:p w:rsidR="00635EB0" w:rsidRDefault="00A7133C" w:rsidP="00A826B4">
      <w:pPr>
        <w:pStyle w:val="ListParagraph"/>
        <w:numPr>
          <w:ilvl w:val="0"/>
          <w:numId w:val="1"/>
        </w:numPr>
        <w:rPr>
          <w:color w:val="000000"/>
        </w:rPr>
      </w:pPr>
      <w:r w:rsidRPr="00A7133C">
        <w:rPr>
          <w:color w:val="000000"/>
        </w:rPr>
        <w:t>Excel</w:t>
      </w:r>
      <w:r w:rsidR="00635EB0">
        <w:rPr>
          <w:color w:val="000000"/>
        </w:rPr>
        <w:t xml:space="preserve"> and</w:t>
      </w:r>
      <w:r w:rsidRPr="00A7133C">
        <w:rPr>
          <w:color w:val="000000"/>
        </w:rPr>
        <w:t xml:space="preserve"> other tech tools</w:t>
      </w:r>
    </w:p>
    <w:p w:rsidR="00A7133C" w:rsidRDefault="00A7133C" w:rsidP="00A826B4">
      <w:pPr>
        <w:pStyle w:val="ListParagraph"/>
        <w:numPr>
          <w:ilvl w:val="0"/>
          <w:numId w:val="1"/>
        </w:numPr>
        <w:rPr>
          <w:color w:val="000000"/>
        </w:rPr>
      </w:pPr>
      <w:r w:rsidRPr="00A7133C">
        <w:rPr>
          <w:color w:val="000000"/>
        </w:rPr>
        <w:t>Tech</w:t>
      </w:r>
      <w:r w:rsidR="00635EB0">
        <w:rPr>
          <w:color w:val="000000"/>
        </w:rPr>
        <w:t xml:space="preserve"> show and tell type sessions </w:t>
      </w:r>
    </w:p>
    <w:p w:rsidR="00635EB0" w:rsidRDefault="00635EB0" w:rsidP="00A826B4">
      <w:pPr>
        <w:pStyle w:val="ListParagraph"/>
        <w:numPr>
          <w:ilvl w:val="0"/>
          <w:numId w:val="1"/>
        </w:numPr>
        <w:rPr>
          <w:color w:val="000000"/>
        </w:rPr>
      </w:pPr>
      <w:r>
        <w:rPr>
          <w:color w:val="000000"/>
        </w:rPr>
        <w:t>Creative money saving tips in meeting and events without losing the “Cool” factor</w:t>
      </w:r>
    </w:p>
    <w:p w:rsidR="00635EB0" w:rsidRDefault="00635EB0" w:rsidP="00A826B4">
      <w:pPr>
        <w:pStyle w:val="ListParagraph"/>
        <w:numPr>
          <w:ilvl w:val="0"/>
          <w:numId w:val="1"/>
        </w:numPr>
        <w:rPr>
          <w:color w:val="000000"/>
        </w:rPr>
      </w:pPr>
      <w:r>
        <w:rPr>
          <w:color w:val="000000"/>
        </w:rPr>
        <w:t>Citywide Conventions – navigating the convention center</w:t>
      </w:r>
    </w:p>
    <w:tbl>
      <w:tblPr>
        <w:tblW w:w="12602" w:type="dxa"/>
        <w:tblCellMar>
          <w:left w:w="0" w:type="dxa"/>
          <w:right w:w="0" w:type="dxa"/>
        </w:tblCellMar>
        <w:tblLook w:val="04A0"/>
      </w:tblPr>
      <w:tblGrid>
        <w:gridCol w:w="12602"/>
      </w:tblGrid>
      <w:tr w:rsidR="00A7133C" w:rsidTr="00A826B4">
        <w:trPr>
          <w:trHeight w:val="806"/>
        </w:trPr>
        <w:tc>
          <w:tcPr>
            <w:tcW w:w="12602" w:type="dxa"/>
            <w:tcMar>
              <w:top w:w="0" w:type="dxa"/>
              <w:left w:w="108" w:type="dxa"/>
              <w:bottom w:w="0" w:type="dxa"/>
              <w:right w:w="108" w:type="dxa"/>
            </w:tcMar>
            <w:vAlign w:val="bottom"/>
            <w:hideMark/>
          </w:tcPr>
          <w:p w:rsidR="00A826B4" w:rsidRPr="00A826B4" w:rsidRDefault="00A826B4" w:rsidP="00A826B4">
            <w:pPr>
              <w:spacing w:after="0"/>
              <w:rPr>
                <w:color w:val="000000"/>
              </w:rPr>
            </w:pPr>
          </w:p>
          <w:p w:rsidR="00A74634" w:rsidRDefault="00A74634" w:rsidP="00A826B4">
            <w:pPr>
              <w:spacing w:after="0"/>
              <w:rPr>
                <w:b/>
                <w:color w:val="000000"/>
                <w:sz w:val="28"/>
                <w:szCs w:val="28"/>
                <w:u w:val="single"/>
              </w:rPr>
            </w:pPr>
            <w:r>
              <w:rPr>
                <w:b/>
                <w:color w:val="000000"/>
                <w:sz w:val="28"/>
                <w:szCs w:val="28"/>
                <w:u w:val="single"/>
              </w:rPr>
              <w:t>Additional Content/Trend Resources</w:t>
            </w:r>
          </w:p>
          <w:p w:rsidR="00635EB0" w:rsidRPr="00A74634" w:rsidRDefault="00635EB0" w:rsidP="00A826B4">
            <w:pPr>
              <w:spacing w:after="0"/>
              <w:rPr>
                <w:b/>
                <w:color w:val="000000"/>
                <w:sz w:val="24"/>
                <w:szCs w:val="24"/>
              </w:rPr>
            </w:pPr>
            <w:r w:rsidRPr="00A74634">
              <w:rPr>
                <w:b/>
                <w:color w:val="000000"/>
                <w:sz w:val="24"/>
                <w:szCs w:val="24"/>
              </w:rPr>
              <w:t>Meetings Outlook</w:t>
            </w:r>
          </w:p>
          <w:p w:rsidR="00635EB0" w:rsidRDefault="00635EB0" w:rsidP="00A826B4">
            <w:pPr>
              <w:spacing w:after="0"/>
              <w:rPr>
                <w:rFonts w:cs="Arial"/>
              </w:rPr>
            </w:pPr>
            <w:r w:rsidRPr="00635EB0">
              <w:rPr>
                <w:rStyle w:val="Emphasis"/>
                <w:rFonts w:cs="Arial"/>
              </w:rPr>
              <w:t>Meetings Outlook</w:t>
            </w:r>
            <w:r w:rsidRPr="00635EB0">
              <w:rPr>
                <w:rFonts w:cs="Arial"/>
              </w:rPr>
              <w:t xml:space="preserve"> is future-focused data that will help you identify new trends and innovations on the horizon</w:t>
            </w:r>
            <w:r>
              <w:rPr>
                <w:rFonts w:cs="Arial"/>
              </w:rPr>
              <w:t>, be sure to review this quarterly for new insights on building your chapter content calendar.  This is a great resource for members as well so be sure to remind them in various communications.</w:t>
            </w:r>
          </w:p>
          <w:p w:rsidR="00635EB0" w:rsidRPr="00635EB0" w:rsidRDefault="001D420A" w:rsidP="00A826B4">
            <w:pPr>
              <w:spacing w:after="0"/>
              <w:rPr>
                <w:color w:val="000000"/>
                <w:sz w:val="28"/>
                <w:szCs w:val="28"/>
              </w:rPr>
            </w:pPr>
            <w:hyperlink r:id="rId8" w:history="1">
              <w:r w:rsidR="00635EB0" w:rsidRPr="00635EB0">
                <w:rPr>
                  <w:rStyle w:val="Hyperlink"/>
                  <w:sz w:val="28"/>
                  <w:szCs w:val="28"/>
                  <w:u w:val="none"/>
                </w:rPr>
                <w:t>http://www.mpiweb.org/Portal/Research/meetingsoutlook</w:t>
              </w:r>
            </w:hyperlink>
            <w:r w:rsidR="00635EB0" w:rsidRPr="00635EB0">
              <w:rPr>
                <w:color w:val="000000"/>
                <w:sz w:val="28"/>
                <w:szCs w:val="28"/>
              </w:rPr>
              <w:t xml:space="preserve"> </w:t>
            </w:r>
          </w:p>
          <w:p w:rsidR="00A7133C" w:rsidRPr="00A74634" w:rsidRDefault="00635EB0" w:rsidP="00A826B4">
            <w:pPr>
              <w:spacing w:after="0"/>
              <w:rPr>
                <w:b/>
                <w:color w:val="000000"/>
                <w:sz w:val="24"/>
                <w:szCs w:val="24"/>
              </w:rPr>
            </w:pPr>
            <w:r w:rsidRPr="00A74634">
              <w:rPr>
                <w:b/>
                <w:color w:val="000000"/>
                <w:sz w:val="24"/>
                <w:szCs w:val="24"/>
              </w:rPr>
              <w:t xml:space="preserve">MPI Online Content </w:t>
            </w:r>
          </w:p>
          <w:p w:rsidR="00635EB0" w:rsidRDefault="00635EB0" w:rsidP="00A826B4">
            <w:pPr>
              <w:spacing w:after="0"/>
              <w:rPr>
                <w:color w:val="000000"/>
              </w:rPr>
            </w:pPr>
            <w:r>
              <w:rPr>
                <w:color w:val="000000"/>
              </w:rPr>
              <w:t>MPI Online content is another great resource to share with your members, providing an additional ROI for members who may not be able to attend chapter educational offerings or have varying needs.  Be sure to share these opportunities with your members.</w:t>
            </w:r>
          </w:p>
          <w:p w:rsidR="00635EB0" w:rsidRDefault="001D420A" w:rsidP="00A826B4">
            <w:pPr>
              <w:spacing w:after="0"/>
              <w:rPr>
                <w:color w:val="000000"/>
              </w:rPr>
            </w:pPr>
            <w:hyperlink r:id="rId9" w:history="1">
              <w:r w:rsidR="00635EB0" w:rsidRPr="00526C45">
                <w:rPr>
                  <w:rStyle w:val="Hyperlink"/>
                </w:rPr>
                <w:t>http://www.mpiweb.org/Education/Online</w:t>
              </w:r>
            </w:hyperlink>
            <w:r w:rsidR="00635EB0">
              <w:rPr>
                <w:color w:val="000000"/>
              </w:rPr>
              <w:t xml:space="preserve"> </w:t>
            </w:r>
          </w:p>
          <w:p w:rsidR="00A74634" w:rsidRDefault="00A74634" w:rsidP="00A826B4">
            <w:pPr>
              <w:spacing w:after="0"/>
              <w:rPr>
                <w:b/>
                <w:color w:val="000000"/>
                <w:sz w:val="24"/>
                <w:szCs w:val="24"/>
              </w:rPr>
            </w:pPr>
            <w:r>
              <w:rPr>
                <w:b/>
                <w:color w:val="000000"/>
                <w:sz w:val="24"/>
                <w:szCs w:val="24"/>
              </w:rPr>
              <w:t>MPI Speaker Resource</w:t>
            </w:r>
          </w:p>
          <w:p w:rsidR="00A74634" w:rsidRDefault="00A74634" w:rsidP="00A826B4">
            <w:pPr>
              <w:spacing w:after="0"/>
              <w:rPr>
                <w:color w:val="000000"/>
                <w:sz w:val="24"/>
                <w:szCs w:val="24"/>
              </w:rPr>
            </w:pPr>
            <w:r>
              <w:rPr>
                <w:color w:val="000000"/>
                <w:sz w:val="24"/>
                <w:szCs w:val="24"/>
              </w:rPr>
              <w:t>Available for chapter leaders and MPI members the speaker resource is a great tool for sourcing speakers by topic, speaker name, price and various other filters.</w:t>
            </w:r>
          </w:p>
          <w:p w:rsidR="00A74634" w:rsidRPr="00A74634" w:rsidRDefault="001D420A" w:rsidP="00A826B4">
            <w:pPr>
              <w:spacing w:after="0"/>
              <w:rPr>
                <w:color w:val="000000"/>
                <w:sz w:val="24"/>
                <w:szCs w:val="24"/>
              </w:rPr>
            </w:pPr>
            <w:hyperlink r:id="rId10" w:history="1">
              <w:r w:rsidR="00A74634" w:rsidRPr="00526C45">
                <w:rPr>
                  <w:rStyle w:val="Hyperlink"/>
                  <w:sz w:val="24"/>
                  <w:szCs w:val="24"/>
                </w:rPr>
                <w:t>http://www.mpiweb.org/speaker-resource</w:t>
              </w:r>
            </w:hyperlink>
            <w:r w:rsidR="00A74634">
              <w:rPr>
                <w:color w:val="000000"/>
                <w:sz w:val="24"/>
                <w:szCs w:val="24"/>
              </w:rPr>
              <w:t xml:space="preserve"> </w:t>
            </w:r>
          </w:p>
        </w:tc>
      </w:tr>
    </w:tbl>
    <w:p w:rsidR="00A7133C" w:rsidRDefault="00A7133C"/>
    <w:sectPr w:rsidR="00A7133C" w:rsidSect="00635EB0">
      <w:headerReference w:type="default" r:id="rId11"/>
      <w:pgSz w:w="15840" w:h="12240" w:orient="landscape"/>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8D2" w:rsidRDefault="002928D2" w:rsidP="00F30C68">
      <w:pPr>
        <w:spacing w:after="0" w:line="240" w:lineRule="auto"/>
      </w:pPr>
      <w:r>
        <w:separator/>
      </w:r>
    </w:p>
  </w:endnote>
  <w:endnote w:type="continuationSeparator" w:id="0">
    <w:p w:rsidR="002928D2" w:rsidRDefault="002928D2" w:rsidP="00F30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8D2" w:rsidRDefault="002928D2" w:rsidP="00F30C68">
      <w:pPr>
        <w:spacing w:after="0" w:line="240" w:lineRule="auto"/>
      </w:pPr>
      <w:r>
        <w:separator/>
      </w:r>
    </w:p>
  </w:footnote>
  <w:footnote w:type="continuationSeparator" w:id="0">
    <w:p w:rsidR="002928D2" w:rsidRDefault="002928D2" w:rsidP="00F30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68" w:rsidRDefault="00F30C68" w:rsidP="00F30C68">
    <w:pPr>
      <w:pStyle w:val="Header"/>
      <w:jc w:val="center"/>
    </w:pPr>
    <w:r w:rsidRPr="00F30C68">
      <w:rPr>
        <w:noProof/>
      </w:rPr>
      <w:drawing>
        <wp:inline distT="0" distB="0" distL="0" distR="0">
          <wp:extent cx="5575620" cy="1179458"/>
          <wp:effectExtent l="0" t="0" r="6350" b="1905"/>
          <wp:docPr id="1" name="Picture 1" descr="MPI Logo -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 Logo - lo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90510" cy="118260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B533A"/>
    <w:multiLevelType w:val="hybridMultilevel"/>
    <w:tmpl w:val="BF222024"/>
    <w:lvl w:ilvl="0" w:tplc="295E8556">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nsid w:val="4B9C7746"/>
    <w:multiLevelType w:val="hybridMultilevel"/>
    <w:tmpl w:val="A3F444C4"/>
    <w:lvl w:ilvl="0" w:tplc="FDCC40C8">
      <w:numFmt w:val="bullet"/>
      <w:lvlText w:val=""/>
      <w:lvlJc w:val="left"/>
      <w:pPr>
        <w:ind w:left="750" w:hanging="360"/>
      </w:pPr>
      <w:rPr>
        <w:rFonts w:ascii="Symbol" w:eastAsiaTheme="minorHAnsi" w:hAnsi="Symbol" w:cs="Courier New"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142B1"/>
    <w:rsid w:val="001D420A"/>
    <w:rsid w:val="00220870"/>
    <w:rsid w:val="00233C01"/>
    <w:rsid w:val="002928D2"/>
    <w:rsid w:val="004202DB"/>
    <w:rsid w:val="00625E62"/>
    <w:rsid w:val="00635EB0"/>
    <w:rsid w:val="006A31F1"/>
    <w:rsid w:val="006F004F"/>
    <w:rsid w:val="008970D7"/>
    <w:rsid w:val="00A7133C"/>
    <w:rsid w:val="00A74634"/>
    <w:rsid w:val="00A826B4"/>
    <w:rsid w:val="00C20C43"/>
    <w:rsid w:val="00D142B1"/>
    <w:rsid w:val="00D763B2"/>
    <w:rsid w:val="00F30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C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2B1"/>
    <w:pPr>
      <w:spacing w:after="0" w:line="240" w:lineRule="auto"/>
      <w:ind w:left="720"/>
    </w:pPr>
    <w:rPr>
      <w:rFonts w:ascii="Calibri" w:hAnsi="Calibri" w:cs="Times New Roman"/>
    </w:rPr>
  </w:style>
  <w:style w:type="paragraph" w:styleId="Header">
    <w:name w:val="header"/>
    <w:basedOn w:val="Normal"/>
    <w:link w:val="HeaderChar"/>
    <w:uiPriority w:val="99"/>
    <w:semiHidden/>
    <w:unhideWhenUsed/>
    <w:rsid w:val="00F30C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0C68"/>
  </w:style>
  <w:style w:type="paragraph" w:styleId="Footer">
    <w:name w:val="footer"/>
    <w:basedOn w:val="Normal"/>
    <w:link w:val="FooterChar"/>
    <w:uiPriority w:val="99"/>
    <w:semiHidden/>
    <w:unhideWhenUsed/>
    <w:rsid w:val="00F30C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0C68"/>
  </w:style>
  <w:style w:type="paragraph" w:styleId="BalloonText">
    <w:name w:val="Balloon Text"/>
    <w:basedOn w:val="Normal"/>
    <w:link w:val="BalloonTextChar"/>
    <w:uiPriority w:val="99"/>
    <w:semiHidden/>
    <w:unhideWhenUsed/>
    <w:rsid w:val="00F3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C68"/>
    <w:rPr>
      <w:rFonts w:ascii="Tahoma" w:hAnsi="Tahoma" w:cs="Tahoma"/>
      <w:sz w:val="16"/>
      <w:szCs w:val="16"/>
    </w:rPr>
  </w:style>
  <w:style w:type="character" w:styleId="Hyperlink">
    <w:name w:val="Hyperlink"/>
    <w:basedOn w:val="DefaultParagraphFont"/>
    <w:uiPriority w:val="99"/>
    <w:unhideWhenUsed/>
    <w:rsid w:val="00635EB0"/>
    <w:rPr>
      <w:color w:val="0563C1" w:themeColor="hyperlink"/>
      <w:u w:val="single"/>
    </w:rPr>
  </w:style>
  <w:style w:type="character" w:styleId="Emphasis">
    <w:name w:val="Emphasis"/>
    <w:basedOn w:val="DefaultParagraphFont"/>
    <w:uiPriority w:val="20"/>
    <w:qFormat/>
    <w:rsid w:val="00635EB0"/>
    <w:rPr>
      <w:i/>
      <w:iCs/>
    </w:rPr>
  </w:style>
</w:styles>
</file>

<file path=word/webSettings.xml><?xml version="1.0" encoding="utf-8"?>
<w:webSettings xmlns:r="http://schemas.openxmlformats.org/officeDocument/2006/relationships" xmlns:w="http://schemas.openxmlformats.org/wordprocessingml/2006/main">
  <w:divs>
    <w:div w:id="17826590">
      <w:bodyDiv w:val="1"/>
      <w:marLeft w:val="0"/>
      <w:marRight w:val="0"/>
      <w:marTop w:val="0"/>
      <w:marBottom w:val="0"/>
      <w:divBdr>
        <w:top w:val="none" w:sz="0" w:space="0" w:color="auto"/>
        <w:left w:val="none" w:sz="0" w:space="0" w:color="auto"/>
        <w:bottom w:val="none" w:sz="0" w:space="0" w:color="auto"/>
        <w:right w:val="none" w:sz="0" w:space="0" w:color="auto"/>
      </w:divBdr>
    </w:div>
    <w:div w:id="267080427">
      <w:bodyDiv w:val="1"/>
      <w:marLeft w:val="0"/>
      <w:marRight w:val="0"/>
      <w:marTop w:val="0"/>
      <w:marBottom w:val="0"/>
      <w:divBdr>
        <w:top w:val="none" w:sz="0" w:space="0" w:color="auto"/>
        <w:left w:val="none" w:sz="0" w:space="0" w:color="auto"/>
        <w:bottom w:val="none" w:sz="0" w:space="0" w:color="auto"/>
        <w:right w:val="none" w:sz="0" w:space="0" w:color="auto"/>
      </w:divBdr>
    </w:div>
    <w:div w:id="11459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iweb.org/Portal/Research/meetingsoutloo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piacademy@mpiweb.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piweb.org/speaker-resource" TargetMode="External"/><Relationship Id="rId4" Type="http://schemas.openxmlformats.org/officeDocument/2006/relationships/webSettings" Target="webSettings.xml"/><Relationship Id="rId9" Type="http://schemas.openxmlformats.org/officeDocument/2006/relationships/hyperlink" Target="http://www.mpiweb.org/Education/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Dotson</dc:creator>
  <cp:lastModifiedBy>Holly Dotson</cp:lastModifiedBy>
  <cp:revision>6</cp:revision>
  <dcterms:created xsi:type="dcterms:W3CDTF">2016-09-20T10:36:00Z</dcterms:created>
  <dcterms:modified xsi:type="dcterms:W3CDTF">2016-09-20T13:05:00Z</dcterms:modified>
</cp:coreProperties>
</file>